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2200973</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0DD8F2F8" w:rsidR="00E13C27" w:rsidRPr="00CF1AA2" w:rsidRDefault="008F6665" w:rsidP="00810D7D">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פ/2479/25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העונשין (תיקון – עבירות מין על ידי בן משפחה פונקציונאלי), התשפ"ג–2023</w:t>
      </w:r>
      <w:bookmarkEnd w:id="7"/>
    </w:p>
    <w:p w14:paraId="7F6961AE" w14:textId="77777777" w:rsidR="00E13C27" w:rsidRDefault="00E13C27" w:rsidP="0021633A">
      <w:pPr>
        <w:pStyle w:val="HeadDivreiHesber"/>
        <w:spacing w:before="0" w:after="0"/>
        <w:rPr>
          <w:rtl/>
        </w:rPr>
      </w:pPr>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519"/>
      </w:tblGrid>
      <w:tr w:rsidR="00593395" w:rsidRPr="007969D2" w14:paraId="7C9794AD" w14:textId="77777777" w:rsidTr="00342230">
        <w:trPr>
          <w:cantSplit/>
        </w:trPr>
        <w:tc>
          <w:tcPr>
            <w:tcW w:w="1870" w:type="dxa"/>
          </w:tcPr>
          <w:p w14:paraId="1A6AD8A3"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7969D2">
              <w:rPr>
                <w:rFonts w:ascii="Arial" w:eastAsia="Arial Unicode MS" w:hAnsi="Arial" w:cs="David"/>
                <w:color w:val="auto"/>
                <w:spacing w:val="0"/>
                <w:sz w:val="20"/>
                <w:szCs w:val="26"/>
                <w:rtl/>
                <w:lang w:eastAsia="en-US"/>
              </w:rPr>
              <w:t>תיקון סעיף 351</w:t>
            </w:r>
          </w:p>
        </w:tc>
        <w:tc>
          <w:tcPr>
            <w:tcW w:w="624" w:type="dxa"/>
          </w:tcPr>
          <w:p w14:paraId="10059FAA"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7969D2">
              <w:rPr>
                <w:rFonts w:ascii="Arial" w:eastAsia="Arial Unicode MS" w:hAnsi="Arial" w:cs="David"/>
                <w:color w:val="auto"/>
                <w:spacing w:val="0"/>
                <w:sz w:val="20"/>
                <w:szCs w:val="26"/>
                <w:rtl/>
                <w:lang w:eastAsia="en-US"/>
              </w:rPr>
              <w:t>1.</w:t>
            </w:r>
          </w:p>
        </w:tc>
        <w:tc>
          <w:tcPr>
            <w:tcW w:w="7143" w:type="dxa"/>
            <w:gridSpan w:val="2"/>
          </w:tcPr>
          <w:p w14:paraId="42CAE3F2"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7969D2">
              <w:rPr>
                <w:rFonts w:ascii="Arial" w:eastAsia="Arial Unicode MS" w:hAnsi="Arial" w:cs="David"/>
                <w:color w:val="auto"/>
                <w:spacing w:val="0"/>
                <w:sz w:val="20"/>
                <w:szCs w:val="26"/>
                <w:rtl/>
                <w:lang w:eastAsia="en-US"/>
              </w:rPr>
              <w:t>בחוק העונשין, התשל"ז–1977</w:t>
            </w:r>
            <w:r w:rsidRPr="007969D2">
              <w:rPr>
                <w:rFonts w:ascii="David" w:eastAsia="Arial Unicode MS" w:hAnsi="David" w:cs="David"/>
                <w:color w:val="auto"/>
                <w:spacing w:val="0"/>
                <w:sz w:val="26"/>
                <w:szCs w:val="26"/>
                <w:vertAlign w:val="superscript"/>
                <w:rtl/>
                <w:lang w:eastAsia="en-US"/>
              </w:rPr>
              <w:footnoteReference w:id="2"/>
            </w:r>
            <w:r w:rsidRPr="007969D2">
              <w:rPr>
                <w:rFonts w:ascii="Arial" w:eastAsia="Arial Unicode MS" w:hAnsi="Arial" w:cs="David"/>
                <w:color w:val="auto"/>
                <w:spacing w:val="0"/>
                <w:sz w:val="20"/>
                <w:szCs w:val="26"/>
                <w:rtl/>
                <w:lang w:eastAsia="en-US"/>
              </w:rPr>
              <w:t>, בסעיף 351(ה) –</w:t>
            </w:r>
          </w:p>
        </w:tc>
      </w:tr>
      <w:tr w:rsidR="00810D7D" w:rsidRPr="007969D2" w14:paraId="5E0274FA" w14:textId="77777777" w:rsidTr="00F5027C">
        <w:trPr>
          <w:cantSplit/>
        </w:trPr>
        <w:tc>
          <w:tcPr>
            <w:tcW w:w="1870" w:type="dxa"/>
          </w:tcPr>
          <w:p w14:paraId="5E2FA1EA"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4636B97"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7143" w:type="dxa"/>
            <w:gridSpan w:val="2"/>
          </w:tcPr>
          <w:p w14:paraId="4D33F9C9" w14:textId="08D16342" w:rsidR="00810D7D" w:rsidRPr="007969D2" w:rsidRDefault="00810D7D" w:rsidP="00810D7D">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r w:rsidRPr="007969D2">
              <w:rPr>
                <w:rFonts w:ascii="Arial" w:eastAsia="Arial Unicode MS" w:hAnsi="Arial" w:cs="David"/>
                <w:color w:val="auto"/>
                <w:spacing w:val="0"/>
                <w:sz w:val="20"/>
                <w:szCs w:val="26"/>
                <w:rtl/>
                <w:lang w:eastAsia="en-US"/>
              </w:rPr>
              <w:t>(1)</w:t>
            </w:r>
            <w:r>
              <w:rPr>
                <w:rFonts w:ascii="Arial" w:eastAsia="Arial Unicode MS" w:hAnsi="Arial" w:cs="David"/>
                <w:color w:val="auto"/>
                <w:spacing w:val="0"/>
                <w:sz w:val="20"/>
                <w:szCs w:val="26"/>
                <w:rtl/>
                <w:lang w:eastAsia="en-US"/>
              </w:rPr>
              <w:tab/>
            </w:r>
            <w:r w:rsidRPr="007969D2">
              <w:rPr>
                <w:rFonts w:ascii="Arial" w:eastAsia="Arial Unicode MS" w:hAnsi="Arial" w:cs="David"/>
                <w:color w:val="auto"/>
                <w:spacing w:val="0"/>
                <w:sz w:val="26"/>
                <w:szCs w:val="26"/>
                <w:rtl/>
                <w:lang w:eastAsia="en-US"/>
              </w:rPr>
              <w:t xml:space="preserve">אחרי ההגדרה "אחראי על חסר ישע" יבוא: </w:t>
            </w:r>
            <w:r w:rsidRPr="007969D2">
              <w:rPr>
                <w:rFonts w:ascii="Arial" w:eastAsia="Arial Unicode MS" w:hAnsi="Arial" w:cs="David"/>
                <w:color w:val="auto"/>
                <w:spacing w:val="0"/>
                <w:sz w:val="20"/>
                <w:szCs w:val="26"/>
                <w:rtl/>
                <w:lang w:eastAsia="en-US"/>
              </w:rPr>
              <w:t xml:space="preserve"> </w:t>
            </w:r>
          </w:p>
        </w:tc>
      </w:tr>
      <w:tr w:rsidR="00593395" w:rsidRPr="007969D2" w14:paraId="13C40DCB" w14:textId="77777777" w:rsidTr="00342230">
        <w:trPr>
          <w:cantSplit/>
        </w:trPr>
        <w:tc>
          <w:tcPr>
            <w:tcW w:w="1870" w:type="dxa"/>
          </w:tcPr>
          <w:p w14:paraId="1F4E764F"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01D8639"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27B30429" w14:textId="77777777" w:rsidR="00593395" w:rsidRPr="007969D2" w:rsidRDefault="00593395"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519" w:type="dxa"/>
          </w:tcPr>
          <w:p w14:paraId="19B36F5D" w14:textId="77777777" w:rsidR="00593395" w:rsidRPr="007969D2" w:rsidRDefault="00593395" w:rsidP="00342230">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rtl/>
                <w:lang w:eastAsia="en-US"/>
              </w:rPr>
            </w:pPr>
            <w:r w:rsidRPr="007969D2">
              <w:rPr>
                <w:rFonts w:ascii="Arial" w:eastAsia="Arial Unicode MS" w:hAnsi="Arial" w:cs="David"/>
                <w:color w:val="auto"/>
                <w:spacing w:val="0"/>
                <w:sz w:val="20"/>
                <w:szCs w:val="26"/>
                <w:rtl/>
                <w:lang w:eastAsia="en-US"/>
              </w:rPr>
              <w:t>"בן זוג – לרבות בן זוג לשעבר, ובלבד שממשיך להתקיים קשר מעין משפחתי ביניהם";</w:t>
            </w:r>
          </w:p>
        </w:tc>
      </w:tr>
      <w:tr w:rsidR="00810D7D" w:rsidRPr="007969D2" w14:paraId="449835BB" w14:textId="77777777" w:rsidTr="00E91CFF">
        <w:trPr>
          <w:cantSplit/>
        </w:trPr>
        <w:tc>
          <w:tcPr>
            <w:tcW w:w="1870" w:type="dxa"/>
          </w:tcPr>
          <w:p w14:paraId="6351D167"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4DB4026"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7143" w:type="dxa"/>
            <w:gridSpan w:val="2"/>
          </w:tcPr>
          <w:p w14:paraId="6E8D7A42" w14:textId="65341F7A" w:rsidR="00810D7D" w:rsidRPr="007969D2" w:rsidRDefault="00810D7D" w:rsidP="00810D7D">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r w:rsidRPr="007969D2">
              <w:rPr>
                <w:rFonts w:ascii="Arial" w:eastAsia="Arial Unicode MS" w:hAnsi="Arial" w:cs="David"/>
                <w:color w:val="auto"/>
                <w:spacing w:val="0"/>
                <w:sz w:val="20"/>
                <w:szCs w:val="26"/>
                <w:rtl/>
                <w:lang w:eastAsia="en-US"/>
              </w:rPr>
              <w:t>(2)</w:t>
            </w:r>
            <w:r>
              <w:rPr>
                <w:rFonts w:ascii="Arial" w:eastAsia="Arial Unicode MS" w:hAnsi="Arial" w:cs="David"/>
                <w:color w:val="auto"/>
                <w:spacing w:val="0"/>
                <w:sz w:val="20"/>
                <w:szCs w:val="26"/>
                <w:rtl/>
                <w:lang w:eastAsia="en-US"/>
              </w:rPr>
              <w:tab/>
            </w:r>
            <w:r w:rsidRPr="007969D2">
              <w:rPr>
                <w:rFonts w:ascii="Arial" w:eastAsia="Arial Unicode MS" w:hAnsi="Arial" w:cs="David"/>
                <w:color w:val="auto"/>
                <w:spacing w:val="0"/>
                <w:sz w:val="20"/>
                <w:szCs w:val="26"/>
                <w:rtl/>
                <w:lang w:eastAsia="en-US"/>
              </w:rPr>
              <w:t>בהגדרה "בן משפחה"</w:t>
            </w:r>
            <w:r>
              <w:rPr>
                <w:rFonts w:ascii="Arial" w:eastAsia="Arial Unicode MS" w:hAnsi="Arial" w:cs="David" w:hint="cs"/>
                <w:color w:val="auto"/>
                <w:spacing w:val="0"/>
                <w:sz w:val="20"/>
                <w:szCs w:val="26"/>
                <w:rtl/>
                <w:lang w:eastAsia="en-US"/>
              </w:rPr>
              <w:t xml:space="preserve"> </w:t>
            </w:r>
            <w:r>
              <w:rPr>
                <w:rFonts w:ascii="Arial" w:eastAsia="Arial Unicode MS" w:hAnsi="Arial" w:cs="David" w:hint="eastAsia"/>
                <w:color w:val="auto"/>
                <w:spacing w:val="0"/>
                <w:sz w:val="20"/>
                <w:szCs w:val="26"/>
                <w:rtl/>
                <w:lang w:eastAsia="en-US"/>
              </w:rPr>
              <w:t>–</w:t>
            </w:r>
            <w:r w:rsidRPr="007969D2">
              <w:rPr>
                <w:rFonts w:ascii="Arial" w:eastAsia="Arial Unicode MS" w:hAnsi="Arial" w:cs="David"/>
                <w:color w:val="auto"/>
                <w:spacing w:val="0"/>
                <w:sz w:val="20"/>
                <w:szCs w:val="26"/>
                <w:rtl/>
                <w:lang w:eastAsia="en-US"/>
              </w:rPr>
              <w:t xml:space="preserve"> </w:t>
            </w:r>
          </w:p>
        </w:tc>
      </w:tr>
      <w:tr w:rsidR="00810D7D" w:rsidRPr="007969D2" w14:paraId="3E8574B8" w14:textId="77777777" w:rsidTr="0057765B">
        <w:trPr>
          <w:cantSplit/>
        </w:trPr>
        <w:tc>
          <w:tcPr>
            <w:tcW w:w="1870" w:type="dxa"/>
          </w:tcPr>
          <w:p w14:paraId="1E52153C"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E057184"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41E0C32C"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tcPr>
          <w:p w14:paraId="7B8F2B85" w14:textId="23D9BAA8"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7969D2">
              <w:rPr>
                <w:rFonts w:ascii="Arial" w:eastAsia="Arial Unicode MS" w:hAnsi="Arial" w:cs="David"/>
                <w:color w:val="auto"/>
                <w:spacing w:val="0"/>
                <w:sz w:val="20"/>
                <w:szCs w:val="26"/>
                <w:rtl/>
                <w:lang w:eastAsia="en-US"/>
              </w:rPr>
              <w:t>(א)</w:t>
            </w:r>
            <w:r w:rsidRPr="007969D2">
              <w:rPr>
                <w:rFonts w:ascii="Arial" w:eastAsia="Arial Unicode MS" w:hAnsi="Arial" w:cs="David"/>
                <w:color w:val="auto"/>
                <w:spacing w:val="0"/>
                <w:sz w:val="20"/>
                <w:szCs w:val="26"/>
                <w:rtl/>
                <w:lang w:eastAsia="en-US"/>
              </w:rPr>
              <w:tab/>
            </w:r>
            <w:r>
              <w:rPr>
                <w:rFonts w:ascii="Arial" w:eastAsia="Arial Unicode MS" w:hAnsi="Arial" w:cs="David"/>
                <w:color w:val="auto"/>
                <w:spacing w:val="0"/>
                <w:sz w:val="20"/>
                <w:szCs w:val="26"/>
                <w:rtl/>
                <w:lang w:eastAsia="en-US"/>
              </w:rPr>
              <w:t>בפסקה (1)</w:t>
            </w:r>
            <w:r>
              <w:rPr>
                <w:rFonts w:ascii="Arial" w:eastAsia="Arial Unicode MS" w:hAnsi="Arial" w:cs="David" w:hint="cs"/>
                <w:color w:val="auto"/>
                <w:spacing w:val="0"/>
                <w:sz w:val="20"/>
                <w:szCs w:val="26"/>
                <w:rtl/>
                <w:lang w:eastAsia="en-US"/>
              </w:rPr>
              <w:t xml:space="preserve"> </w:t>
            </w:r>
            <w:r w:rsidRPr="007969D2">
              <w:rPr>
                <w:rFonts w:ascii="Arial" w:eastAsia="Arial Unicode MS" w:hAnsi="Arial" w:cs="David"/>
                <w:color w:val="auto"/>
                <w:spacing w:val="0"/>
                <w:sz w:val="20"/>
                <w:szCs w:val="26"/>
                <w:rtl/>
                <w:lang w:eastAsia="en-US"/>
              </w:rPr>
              <w:t xml:space="preserve">בסופה יבוא  "או בן זוג של אחד מהם"; </w:t>
            </w:r>
          </w:p>
        </w:tc>
      </w:tr>
      <w:tr w:rsidR="00810D7D" w:rsidRPr="007969D2" w14:paraId="281E8E1D" w14:textId="77777777" w:rsidTr="00E67EE1">
        <w:trPr>
          <w:cantSplit/>
        </w:trPr>
        <w:tc>
          <w:tcPr>
            <w:tcW w:w="1870" w:type="dxa"/>
          </w:tcPr>
          <w:p w14:paraId="20DB83CC"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05BF17E"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024C3416" w14:textId="77777777"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tcPr>
          <w:p w14:paraId="2C1B231B" w14:textId="72DA8E74" w:rsidR="00810D7D" w:rsidRPr="007969D2" w:rsidRDefault="00810D7D" w:rsidP="00342230">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7969D2">
              <w:rPr>
                <w:rFonts w:ascii="Arial" w:eastAsia="Arial Unicode MS" w:hAnsi="Arial" w:cs="David"/>
                <w:color w:val="auto"/>
                <w:spacing w:val="0"/>
                <w:sz w:val="20"/>
                <w:szCs w:val="26"/>
                <w:rtl/>
                <w:lang w:eastAsia="en-US"/>
              </w:rPr>
              <w:t>(ב)</w:t>
            </w:r>
            <w:r w:rsidRPr="007969D2">
              <w:rPr>
                <w:rFonts w:ascii="Arial" w:eastAsia="Arial Unicode MS" w:hAnsi="Arial" w:cs="David"/>
                <w:color w:val="auto"/>
                <w:spacing w:val="0"/>
                <w:sz w:val="20"/>
                <w:szCs w:val="26"/>
                <w:rtl/>
                <w:lang w:eastAsia="en-US"/>
              </w:rPr>
              <w:tab/>
              <w:t>בפסקה (2) אחרי ״גיס או גיסה״ יבוא "לרבות דוד, דודה, גיס או גיסה לשעבר, אם לקטין הנפגע טרם מלאו 14 שנים, ובלבד שממשיך להתקיים קשר מעין משפחתי ביניהם".</w:t>
            </w:r>
          </w:p>
        </w:tc>
      </w:tr>
    </w:tbl>
    <w:p w14:paraId="7F6961CA" w14:textId="77777777" w:rsidR="002D1EE3" w:rsidRDefault="002D1EE3" w:rsidP="002D1EE3">
      <w:pPr>
        <w:pStyle w:val="HeadDivreiHesber"/>
        <w:rPr>
          <w:rtl/>
        </w:rPr>
      </w:pPr>
      <w:r w:rsidRPr="0027450A">
        <w:rPr>
          <w:rFonts w:hint="cs"/>
          <w:rtl/>
        </w:rPr>
        <w:t>דברי הסבר</w:t>
      </w:r>
    </w:p>
    <w:p w14:paraId="5A739339" w14:textId="77777777" w:rsidR="00593395" w:rsidRDefault="00593395" w:rsidP="00593395">
      <w:pPr>
        <w:pStyle w:val="Hesber"/>
        <w:rPr>
          <w:rtl/>
        </w:rPr>
      </w:pPr>
      <w:r>
        <w:rPr>
          <w:rtl/>
        </w:rPr>
        <w:t>בעשורים האחרונים חלו תמורות משמעותיות ביחס החברה ומערכת המשפט הפלילית להתמודדות עם תופעת הפגיעות מיניות המתבצעות בתוך המשפחה. לראיה, תיקון מספר 30 ותיקון מספר 71 לחוק העונשין, התשל"ז–1977 (להלן – חוק העונשין), הגדירו ענישה מחמירה על עבירות מין המתבצעות כלפי קטינים בידי בן משפחה, או כלפי אדם שהוא חסר ישע בידי האחראי עליו. תיקונים אלו קבעו כי פגיעה מינית של קטין על ידי בן משפחה חמורה יותר מפגיעה מינית על ידי אדם זר. זאת, נוכח הקשר הרגיש והמיוחד הקיים בין קטין לבין אדם שהוא בן משפחתו, והאופן שהתוקף עלול לנצל קשר זה כדי לבצע מעשי פגיעה מינית בקטין.</w:t>
      </w:r>
    </w:p>
    <w:p w14:paraId="1EE3E21A" w14:textId="77777777" w:rsidR="00593395" w:rsidRDefault="00593395" w:rsidP="00593395">
      <w:pPr>
        <w:pStyle w:val="Hesber"/>
        <w:rPr>
          <w:rtl/>
        </w:rPr>
      </w:pPr>
      <w:r>
        <w:rPr>
          <w:rtl/>
        </w:rPr>
        <w:t xml:space="preserve">עם זאת, החמרת הענישה כלפי עבירות מין במשפחה איננה מיושמת במקרים בהם קטין נפגע מינית על ידי אדם שהיה בעבר "בן משפחה" כהגדרתו בסעיף 351(ה) לחוק העונשין, אולם בעת התרחשות האירוע האחרון כבר איננו "בן משפחה" כהגדרת הסעיף. מדובר במקרים בהם אותו אדם מהווה "בן משפחה פונקציונאלי",  קרי, אדם שהיה חלק מהמשפחה, כגון בן זוג לשעבר של דודה, גיסה, או סבתא, ועדיין מקיים קשר מסוים עם בני המשפחה לרבות בני המשפחה הקטינים. </w:t>
      </w:r>
    </w:p>
    <w:p w14:paraId="2765C49B" w14:textId="77777777" w:rsidR="00593395" w:rsidRDefault="00593395" w:rsidP="00593395">
      <w:pPr>
        <w:pStyle w:val="Hesber"/>
        <w:rPr>
          <w:rtl/>
        </w:rPr>
      </w:pPr>
      <w:r>
        <w:rPr>
          <w:rtl/>
        </w:rPr>
        <w:lastRenderedPageBreak/>
        <w:t xml:space="preserve">באותם המקרים, פעמים רבות, "בן המשפחה הפונקציונאלי" למעשה ממשיך לפתח קשרים אישיים ויחסי אמון עם בני המשפחה והוא מהווה חלק אינטגרלי מההתבגרות של הקטינות והקטינים במשפחה. כך, מבחינת אותו קטין, בן המשפחה הפונקציונאלי, אשר לפי ההגדרות הקיימות בחוק העונשין איננו בגדר בן משפחה, הוא למעשה בן משפחה לכל דבר ועניין. </w:t>
      </w:r>
    </w:p>
    <w:p w14:paraId="06343AE4" w14:textId="77777777" w:rsidR="00593395" w:rsidRDefault="00593395" w:rsidP="00593395">
      <w:pPr>
        <w:pStyle w:val="Hesber"/>
        <w:rPr>
          <w:rtl/>
        </w:rPr>
      </w:pPr>
      <w:r>
        <w:rPr>
          <w:rtl/>
        </w:rPr>
        <w:t>התיקון המוצע נועד להתאים את מדיניות החמרת הענישה כלפי פגיעות מיניות בתוך המשפחה הקבועות בסעיף 351(ה) לחוק העונשין גם למצבים שפגיעות אלו מתבצעות על-ידי "בן משפחה פונקציונאלי". החמרת הענישה נועדה לתת  ביטוי לנזקים הקשים וארוכי הטווח שנגרמים לקטין מפגיעה מינית על ידי אדם שממשיך לקיים קשר מעין משפחתי עם בני ובנות המשפחה. תכלית הצעת חוק היא למנוע מצבים בהם דמות דומיננטית עבור הקטין או הקטינה מנצלת את יחסי הכוחות לטובת תקיפה מינית.</w:t>
      </w:r>
    </w:p>
    <w:p w14:paraId="7F6961CB" w14:textId="3575F85C" w:rsidR="00E13C27" w:rsidRDefault="00593395" w:rsidP="00810D7D">
      <w:pPr>
        <w:pStyle w:val="Hesber"/>
        <w:rPr>
          <w:rtl/>
        </w:rPr>
      </w:pPr>
      <w:r>
        <w:rPr>
          <w:rtl/>
        </w:rPr>
        <w:t>הצע</w:t>
      </w:r>
      <w:r w:rsidR="00834BDF">
        <w:rPr>
          <w:rFonts w:hint="cs"/>
          <w:rtl/>
        </w:rPr>
        <w:t>ו</w:t>
      </w:r>
      <w:r w:rsidR="00834BDF">
        <w:rPr>
          <w:rtl/>
        </w:rPr>
        <w:t>ת חוק זה</w:t>
      </w:r>
      <w:r w:rsidR="00834BDF">
        <w:rPr>
          <w:rFonts w:hint="cs"/>
          <w:rtl/>
        </w:rPr>
        <w:t>ות</w:t>
      </w:r>
      <w:r w:rsidR="00834BDF">
        <w:rPr>
          <w:rtl/>
        </w:rPr>
        <w:t xml:space="preserve"> הונח</w:t>
      </w:r>
      <w:r w:rsidR="00834BDF">
        <w:rPr>
          <w:rFonts w:hint="cs"/>
          <w:rtl/>
        </w:rPr>
        <w:t>ו</w:t>
      </w:r>
      <w:r>
        <w:rPr>
          <w:rtl/>
        </w:rPr>
        <w:t xml:space="preserve"> על שולחן הכנסת העשרים ושלוש </w:t>
      </w:r>
      <w:r w:rsidR="00810D7D">
        <w:rPr>
          <w:rtl/>
        </w:rPr>
        <w:t xml:space="preserve">ועל שולחן הכנסת העשרים וארבע </w:t>
      </w:r>
      <w:r>
        <w:rPr>
          <w:rtl/>
        </w:rPr>
        <w:t>על ידי חבר</w:t>
      </w:r>
      <w:r w:rsidR="00810D7D">
        <w:rPr>
          <w:rtl/>
        </w:rPr>
        <w:t>ת הכנסת מ</w:t>
      </w:r>
      <w:bookmarkStart w:id="8" w:name="_GoBack"/>
      <w:bookmarkEnd w:id="8"/>
      <w:r w:rsidR="00810D7D">
        <w:rPr>
          <w:rtl/>
        </w:rPr>
        <w:t>רב מיכאלי (פ/2598/23</w:t>
      </w:r>
      <w:r w:rsidR="00810D7D">
        <w:rPr>
          <w:rFonts w:hint="cs"/>
          <w:rtl/>
        </w:rPr>
        <w:t xml:space="preserve">; </w:t>
      </w:r>
      <w:r>
        <w:rPr>
          <w:rtl/>
        </w:rPr>
        <w:t>פ/1038/24).</w:t>
      </w:r>
    </w:p>
    <w:p w14:paraId="7685395B" w14:textId="58A7B3E2" w:rsidR="00834BDF" w:rsidRDefault="00834BDF" w:rsidP="00593395">
      <w:pPr>
        <w:pStyle w:val="Hesber"/>
        <w:rPr>
          <w:rtl/>
        </w:rPr>
      </w:pPr>
      <w:r>
        <w:rPr>
          <w:rFonts w:hint="cs"/>
          <w:rtl/>
        </w:rPr>
        <w:t xml:space="preserve">הצעת החוק זהה לפ/1038/24 ולפיכך לא נבדקה מחדש על ידי הלשכה המשפטית של הכנסת. </w:t>
      </w:r>
    </w:p>
    <w:p w14:paraId="4597E6A9" w14:textId="77777777" w:rsidR="00810D7D" w:rsidRDefault="00810D7D" w:rsidP="00593395">
      <w:pPr>
        <w:pStyle w:val="Hesber"/>
        <w:rPr>
          <w:rtl/>
        </w:rPr>
      </w:pPr>
    </w:p>
    <w:p w14:paraId="6F78B83C" w14:textId="77777777" w:rsidR="00810D7D" w:rsidRDefault="00810D7D" w:rsidP="00593395">
      <w:pPr>
        <w:pStyle w:val="Hesber"/>
        <w:rPr>
          <w:rtl/>
        </w:rPr>
      </w:pPr>
    </w:p>
    <w:p w14:paraId="4365A272" w14:textId="77777777" w:rsidR="001D2065" w:rsidRDefault="00810D7D">
      <w:pPr>
        <w:spacing w:before="0" w:line="360" w:lineRule="auto"/>
        <w:jc w:val="left"/>
      </w:pPr>
      <w:bookmarkStart w:id="9" w:name="selectedDocDateB"/>
      <w:bookmarkEnd w:id="9"/>
      <w:r>
        <w:rPr>
          <w:rFonts w:ascii="David" w:eastAsia="David" w:hAnsi="David" w:cs="David" w:hint="cs"/>
          <w:sz w:val="26"/>
          <w:szCs w:val="26"/>
          <w:rtl/>
        </w:rPr>
        <w:t>--------------------------------</w:t>
      </w:r>
    </w:p>
    <w:p w14:paraId="2D15C249" w14:textId="77777777" w:rsidR="001D2065" w:rsidRDefault="00810D7D">
      <w:pPr>
        <w:spacing w:before="0" w:line="360" w:lineRule="auto"/>
        <w:jc w:val="left"/>
      </w:pPr>
      <w:r>
        <w:rPr>
          <w:rFonts w:ascii="David" w:eastAsia="David" w:hAnsi="David" w:cs="David" w:hint="cs"/>
          <w:sz w:val="26"/>
          <w:szCs w:val="26"/>
          <w:rtl/>
        </w:rPr>
        <w:t>הו</w:t>
      </w:r>
      <w:r>
        <w:rPr>
          <w:rFonts w:ascii="David" w:eastAsia="David" w:hAnsi="David" w:cs="David" w:hint="cs"/>
          <w:sz w:val="26"/>
          <w:szCs w:val="26"/>
          <w:rtl/>
        </w:rPr>
        <w:t>גשה ליו"ר הכנסת והסגנים</w:t>
      </w:r>
    </w:p>
    <w:p w14:paraId="36CB4050" w14:textId="77777777" w:rsidR="001D2065" w:rsidRDefault="00810D7D">
      <w:pPr>
        <w:spacing w:before="0" w:line="360" w:lineRule="auto"/>
        <w:jc w:val="left"/>
      </w:pPr>
      <w:r>
        <w:rPr>
          <w:rFonts w:ascii="David" w:eastAsia="David" w:hAnsi="David" w:cs="David" w:hint="cs"/>
          <w:sz w:val="26"/>
          <w:szCs w:val="26"/>
          <w:rtl/>
        </w:rPr>
        <w:t>והונחה על שולחן הכנסת ביום</w:t>
      </w:r>
    </w:p>
    <w:p w14:paraId="2E6F1614" w14:textId="77777777" w:rsidR="001D2065" w:rsidRDefault="00810D7D">
      <w:pPr>
        <w:spacing w:before="0" w:line="360" w:lineRule="auto"/>
        <w:jc w:val="left"/>
      </w:pPr>
      <w:r>
        <w:rPr>
          <w:rFonts w:ascii="David" w:eastAsia="David" w:hAnsi="David" w:cs="David" w:hint="cs"/>
          <w:sz w:val="26"/>
          <w:szCs w:val="26"/>
          <w:rtl/>
        </w:rPr>
        <w:t xml:space="preserve">כ"ט בשבט התשפ"ג (20.02.2023) </w:t>
      </w:r>
    </w:p>
    <w:p w14:paraId="05FFDA48" w14:textId="77777777" w:rsidR="001D2065" w:rsidRDefault="001D2065">
      <w:pPr>
        <w:spacing w:before="0" w:line="276" w:lineRule="auto"/>
        <w:jc w:val="left"/>
      </w:pPr>
    </w:p>
    <w:sectPr w:rsidR="001D2065"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810D7D">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73EB711" w14:textId="77777777" w:rsidR="00593395" w:rsidRDefault="00593395" w:rsidP="00593395">
      <w:pPr>
        <w:pStyle w:val="a4"/>
      </w:pPr>
      <w:r>
        <w:rPr>
          <w:rStyle w:val="a6"/>
        </w:rPr>
        <w:footnoteRef/>
      </w:r>
      <w:r>
        <w:rPr>
          <w:rtl/>
        </w:rPr>
        <w:t xml:space="preserve"> ס"ח התשל"ז, עמ' 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2065"/>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93395"/>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0D7D"/>
    <w:rsid w:val="00812C98"/>
    <w:rsid w:val="00814D92"/>
    <w:rsid w:val="0083181D"/>
    <w:rsid w:val="00834BDF"/>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F57D056-DD3F-4A38-B09B-BBF7D1EA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rsid w:val="00593395"/>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DB4745BB-5A46-4902-9DB2-6B6A4A21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290d5b49-c690-4c6f-bbb9-1e50dab33eee"/>
    <ds:schemaRef ds:uri="http://www.w3.org/XML/1998/namespace"/>
  </ds:schemaRefs>
</ds:datastoreItem>
</file>

<file path=customXml/itemProps4.xml><?xml version="1.0" encoding="utf-8"?>
<ds:datastoreItem xmlns:ds="http://schemas.openxmlformats.org/officeDocument/2006/customXml" ds:itemID="{7E226AD8-5352-4024-9306-BA91C1CC3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408</Words>
  <Characters>2330</Characters>
  <Application>Microsoft Office Word</Application>
  <DocSecurity>0</DocSecurity>
  <Lines>19</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2013-07-04T08:25:00Z</cp:lastPrinted>
  <dcterms:created xsi:type="dcterms:W3CDTF">2015-04-20T09:58:00Z</dcterms:created>
  <dcterms:modified xsi:type="dcterms:W3CDTF">2023-02-14T15:18:00Z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2200973</vt:r8>
  </property>
</Properties>
</file>